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812"/>
        <w:gridCol w:w="72"/>
        <w:gridCol w:w="767"/>
        <w:gridCol w:w="809"/>
      </w:tblGrid>
      <w:tr w:rsidR="00282002" w:rsidRPr="00282002" w:rsidTr="004148FE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82002" w:rsidRPr="00282002" w:rsidRDefault="00282002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282002" w:rsidRPr="00282002" w:rsidRDefault="00282002" w:rsidP="00FD1945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82002" w:rsidRPr="00282002" w:rsidRDefault="00282002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DF3FD8" w:rsidRPr="00282002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82002" w:rsidTr="00282002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82002" w:rsidTr="00282002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82002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82002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282002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de 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>acceso, rectificación, cancelación u oposición de datos personales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82002" w:rsidRDefault="009825B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82002" w:rsidTr="0028200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82002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82002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82002" w:rsidTr="0028200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45360C" w:rsidP="00170DCF">
            <w:pPr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Titular de los datos personales</w:t>
            </w:r>
            <w:r w:rsidR="006850E4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247B81" w:rsidRPr="00282002">
              <w:rPr>
                <w:rFonts w:ascii="Neo Sans Pro" w:hAnsi="Neo Sans Pro"/>
                <w:sz w:val="16"/>
                <w:szCs w:val="16"/>
              </w:rPr>
              <w:t xml:space="preserve">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o en su caso 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su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R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epresentante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L</w:t>
            </w:r>
            <w:r w:rsidRPr="00282002">
              <w:rPr>
                <w:rFonts w:ascii="Neo Sans Pro" w:hAnsi="Neo Sans Pro"/>
                <w:sz w:val="16"/>
                <w:szCs w:val="16"/>
              </w:rPr>
              <w:t>egal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2220B5" w:rsidP="00EF5AA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Cuando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el titular de los derechos solicita el acceso, rectificación, cancelación u oposición a su información personal.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Respuesta a su solicitud</w:t>
            </w:r>
          </w:p>
        </w:tc>
      </w:tr>
      <w:tr w:rsidR="00CB2846" w:rsidRPr="00282002" w:rsidTr="0028200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FD1945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15 días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 xml:space="preserve"> hábiles</w:t>
            </w:r>
          </w:p>
        </w:tc>
      </w:tr>
      <w:tr w:rsidR="002C2335" w:rsidRPr="00282002" w:rsidTr="0028200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3B19B6" w:rsidRPr="00282002" w:rsidTr="0029532D">
        <w:trPr>
          <w:trHeight w:val="443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3B19B6" w:rsidRPr="00282002" w:rsidRDefault="003B19B6" w:rsidP="00830E9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Se vulnera el derecho humano a la protección de datos personales de los particulares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0D4789" w:rsidP="000D4789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SARCO-01</w:t>
            </w:r>
          </w:p>
        </w:tc>
      </w:tr>
      <w:tr w:rsidR="002C2335" w:rsidRPr="00282002" w:rsidTr="00282002">
        <w:trPr>
          <w:trHeight w:val="276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82002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FD1945" w:rsidP="00830E93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por escrito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, mediante la plataforma electrónica 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habilitada para tal efecto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 o 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 por correo electrónico.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del ente público a quien se dirija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completo del titular y, en su caso, el de su representante legal*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Descripción clara y precisa de los datos personales respecto de los que se busca ejercer alguno de los derechos antes mencionados,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Cualquier otro elemento que facilite su localización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domicilio, mismo que debe encontrarse dentro de la capital del Estado, o medio electrónico para recibir notificaciones; y</w:t>
            </w:r>
          </w:p>
          <w:p w:rsidR="00830E93" w:rsidRPr="00282002" w:rsidRDefault="00830E93" w:rsidP="00ED3744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Opcionalmente, la modalidad en la que se prefiere se otorgue el acceso a sus datos personales, la cual podrá ser consulta directa, copias simples o certificadas.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9E0C5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82002" w:rsidRDefault="009D5085" w:rsidP="002B16FD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282002">
              <w:rPr>
                <w:rFonts w:ascii="Neo Sans Pro" w:hAnsi="Neo Sans Pro"/>
                <w:sz w:val="14"/>
                <w:szCs w:val="14"/>
              </w:rPr>
              <w:t xml:space="preserve">Artículo 6 </w:t>
            </w:r>
            <w:r w:rsidR="000D25F0" w:rsidRPr="00282002">
              <w:rPr>
                <w:rFonts w:ascii="Neo Sans Pro" w:hAnsi="Neo Sans Pro"/>
                <w:sz w:val="14"/>
                <w:szCs w:val="14"/>
              </w:rPr>
              <w:t xml:space="preserve">apartado A, </w:t>
            </w:r>
            <w:r w:rsidRPr="00282002">
              <w:rPr>
                <w:rFonts w:ascii="Neo Sans Pro" w:hAnsi="Neo Sans Pro"/>
                <w:sz w:val="14"/>
                <w:szCs w:val="14"/>
              </w:rPr>
              <w:t>Fracción II, III, 16 párrafo segundo de la Constitución Política de los Estados Unidos Mexicanos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Artículo </w:t>
            </w:r>
            <w:r w:rsidRPr="00282002">
              <w:rPr>
                <w:rFonts w:ascii="Neo Sans Pro" w:hAnsi="Neo Sans Pro"/>
                <w:sz w:val="14"/>
                <w:szCs w:val="14"/>
              </w:rPr>
              <w:t>6 primer párrafo de la  Constitución Política de Veracruz de Ignacio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 de la Llave;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3, 10, 44, 45, 46, 47, 48, 49, 50, 55, 56, 57 de la Ley 581 para la Tutela de los Datos Personales en el Estado de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Veracruz de Ignacio de la Llave;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D1945" w:rsidRPr="00282002">
              <w:rPr>
                <w:rFonts w:ascii="Neo Sans Pro" w:hAnsi="Neo Sans Pro"/>
                <w:sz w:val="14"/>
                <w:szCs w:val="14"/>
              </w:rPr>
              <w:t xml:space="preserve">Artículo 3, apartado B Fracción XIII, 223, 227 Fracción XIV del Reglamento de la Ley Orgánica de la Fiscalía General del Estado 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>de Veracruz de Ignacio de la Llave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3, 5 Fracción I, 8, 52, 53, 54, 55 y 57 del Reglamento para la Operación de la Unidad de Acceso a la Información Pública y el Comité de Información de Acceso Restringido de la Fiscalía General del Estado de Veracruz</w:t>
            </w:r>
            <w:r w:rsidR="002B16FD">
              <w:rPr>
                <w:rFonts w:ascii="Neo Sans Pro" w:hAnsi="Neo Sans Pro"/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2C2335" w:rsidRPr="00282002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82002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2.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 xml:space="preserve"> 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563094">
        <w:trPr>
          <w:trHeight w:val="455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5822F3" w:rsidP="00DC65D5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Nota: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* Representación Legal en términos del Código Civil del Estado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 xml:space="preserve"> de Veracruz de Ignacio de la Llave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82002" w:rsidTr="00282002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282002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82002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282002" w:rsidRDefault="00247B81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282002" w:rsidRDefault="00FD194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Subdirección de Datos Personales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52219D" w:rsidRPr="00282002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(228) 8</w:t>
            </w:r>
            <w:r w:rsidR="00FD1945" w:rsidRPr="00282002">
              <w:rPr>
                <w:rFonts w:ascii="Neo Sans Pro" w:hAnsi="Neo Sans Pro"/>
                <w:bCs/>
                <w:sz w:val="16"/>
                <w:szCs w:val="16"/>
              </w:rPr>
              <w:t>416170</w:t>
            </w:r>
          </w:p>
          <w:p w:rsidR="00685E55" w:rsidRPr="00282002" w:rsidRDefault="00FD194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3037</w:t>
            </w:r>
          </w:p>
        </w:tc>
      </w:tr>
      <w:tr w:rsidR="002C2335" w:rsidRPr="00282002" w:rsidTr="00282002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82002" w:rsidTr="00ED3744">
        <w:trPr>
          <w:trHeight w:val="395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 xml:space="preserve">. 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Reserva Territorial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C.P. 91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096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Xalapa, Ver.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2C233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282002" w:rsidTr="00282002">
        <w:trPr>
          <w:trHeight w:val="299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82002" w:rsidTr="00282002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601EF8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45360C" w:rsidRPr="00282002" w:rsidTr="00282002">
        <w:trPr>
          <w:trHeight w:val="58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360C" w:rsidRPr="00282002" w:rsidRDefault="0045360C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45360C" w:rsidRPr="00282002" w:rsidRDefault="0045360C" w:rsidP="00247B8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E16CF" w:rsidRPr="00282002">
              <w:rPr>
                <w:rFonts w:ascii="Neo Sans Pro" w:hAnsi="Neo Sans Pro"/>
                <w:bCs/>
                <w:sz w:val="16"/>
                <w:szCs w:val="16"/>
              </w:rPr>
              <w:t>(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a</w:t>
            </w:r>
            <w:r w:rsidR="00247B81" w:rsidRPr="00282002">
              <w:rPr>
                <w:rFonts w:ascii="Neo Sans Pro" w:hAnsi="Neo Sans Pro"/>
                <w:bCs/>
                <w:sz w:val="16"/>
                <w:szCs w:val="16"/>
              </w:rPr>
              <w:t>) 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Lunes a Viernes</w:t>
            </w:r>
          </w:p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45360C" w:rsidRPr="00282002" w:rsidRDefault="0045360C" w:rsidP="00A704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45360C" w:rsidRPr="00282002" w:rsidRDefault="0045360C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uaip.fgever@gmail.com</w:t>
            </w:r>
          </w:p>
        </w:tc>
      </w:tr>
      <w:tr w:rsidR="00282002" w:rsidRPr="00282002" w:rsidTr="00282002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80636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28200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282002" w:rsidRPr="00282002" w:rsidTr="00282002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926C1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28200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5822F3" w:rsidRPr="00282002" w:rsidTr="00282002">
        <w:trPr>
          <w:trHeight w:val="310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5822F3" w:rsidRPr="00282002" w:rsidTr="00282002">
        <w:trPr>
          <w:trHeight w:val="429"/>
        </w:trPr>
        <w:tc>
          <w:tcPr>
            <w:tcW w:w="11023" w:type="dxa"/>
            <w:gridSpan w:val="17"/>
            <w:shd w:val="clear" w:color="auto" w:fill="FFFFF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Subdirectora de Datos Personales</w:t>
            </w:r>
          </w:p>
        </w:tc>
      </w:tr>
    </w:tbl>
    <w:p w:rsidR="0097237C" w:rsidRPr="003D303F" w:rsidRDefault="0097237C" w:rsidP="00BF0E89">
      <w:pPr>
        <w:rPr>
          <w:sz w:val="10"/>
        </w:rPr>
      </w:pPr>
    </w:p>
    <w:sectPr w:rsidR="0097237C" w:rsidRPr="003D303F" w:rsidSect="00217CE0">
      <w:headerReference w:type="default" r:id="rId9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6E" w:rsidRDefault="00286F6E">
      <w:r>
        <w:separator/>
      </w:r>
    </w:p>
  </w:endnote>
  <w:endnote w:type="continuationSeparator" w:id="0">
    <w:p w:rsidR="00286F6E" w:rsidRDefault="0028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6E" w:rsidRDefault="00286F6E">
      <w:r>
        <w:separator/>
      </w:r>
    </w:p>
  </w:footnote>
  <w:footnote w:type="continuationSeparator" w:id="0">
    <w:p w:rsidR="00286F6E" w:rsidRDefault="0028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286F6E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79.45pt;margin-top:38.2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282002" w:rsidRDefault="00282002" w:rsidP="00282002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82002" w:rsidRDefault="00282002" w:rsidP="00282002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82002" w:rsidRDefault="00282002" w:rsidP="00282002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282002" w:rsidRPr="00282002">
      <w:rPr>
        <w:noProof/>
      </w:rPr>
      <w:t xml:space="preserve"> </w:t>
    </w:r>
    <w:r w:rsidR="00282002">
      <w:rPr>
        <w:noProof/>
      </w:rPr>
      <w:drawing>
        <wp:inline distT="0" distB="0" distL="0" distR="0" wp14:anchorId="3DB4B639" wp14:editId="44D7F3DA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002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17B23"/>
    <w:rsid w:val="000236A8"/>
    <w:rsid w:val="00031582"/>
    <w:rsid w:val="00045154"/>
    <w:rsid w:val="00056C6D"/>
    <w:rsid w:val="00062CBF"/>
    <w:rsid w:val="00070ECC"/>
    <w:rsid w:val="000803A0"/>
    <w:rsid w:val="000879DB"/>
    <w:rsid w:val="000A0B13"/>
    <w:rsid w:val="000A4E60"/>
    <w:rsid w:val="000B16B3"/>
    <w:rsid w:val="000C018B"/>
    <w:rsid w:val="000D04C5"/>
    <w:rsid w:val="000D061D"/>
    <w:rsid w:val="000D25F0"/>
    <w:rsid w:val="000D2855"/>
    <w:rsid w:val="000D4789"/>
    <w:rsid w:val="000D78B1"/>
    <w:rsid w:val="000D7A01"/>
    <w:rsid w:val="000E2FB0"/>
    <w:rsid w:val="00107D4A"/>
    <w:rsid w:val="001369B1"/>
    <w:rsid w:val="00137AF2"/>
    <w:rsid w:val="00154F93"/>
    <w:rsid w:val="00160DC0"/>
    <w:rsid w:val="001650B5"/>
    <w:rsid w:val="001666B2"/>
    <w:rsid w:val="00170DCF"/>
    <w:rsid w:val="0018383D"/>
    <w:rsid w:val="00187C38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44512"/>
    <w:rsid w:val="00247B81"/>
    <w:rsid w:val="00251097"/>
    <w:rsid w:val="00264652"/>
    <w:rsid w:val="0026640E"/>
    <w:rsid w:val="00282002"/>
    <w:rsid w:val="00286F6E"/>
    <w:rsid w:val="002945B3"/>
    <w:rsid w:val="002A1786"/>
    <w:rsid w:val="002A641D"/>
    <w:rsid w:val="002B16FD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150B5"/>
    <w:rsid w:val="003667FC"/>
    <w:rsid w:val="00375985"/>
    <w:rsid w:val="00375B80"/>
    <w:rsid w:val="003B19B6"/>
    <w:rsid w:val="003B1BA4"/>
    <w:rsid w:val="003D303F"/>
    <w:rsid w:val="003D404F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52B6C"/>
    <w:rsid w:val="0045360C"/>
    <w:rsid w:val="00454F8D"/>
    <w:rsid w:val="004671C2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20D1A"/>
    <w:rsid w:val="0052219D"/>
    <w:rsid w:val="005344BB"/>
    <w:rsid w:val="005527A0"/>
    <w:rsid w:val="00563094"/>
    <w:rsid w:val="005822F3"/>
    <w:rsid w:val="00583645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280B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2A1A"/>
    <w:rsid w:val="007F4448"/>
    <w:rsid w:val="007F7F7E"/>
    <w:rsid w:val="00814A62"/>
    <w:rsid w:val="0081561C"/>
    <w:rsid w:val="008264BC"/>
    <w:rsid w:val="00830E93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2DDB"/>
    <w:rsid w:val="008E5077"/>
    <w:rsid w:val="008E5A6B"/>
    <w:rsid w:val="008F70C2"/>
    <w:rsid w:val="0090122F"/>
    <w:rsid w:val="009057FA"/>
    <w:rsid w:val="00906E25"/>
    <w:rsid w:val="009126A8"/>
    <w:rsid w:val="00916863"/>
    <w:rsid w:val="00926C1A"/>
    <w:rsid w:val="009327DA"/>
    <w:rsid w:val="0097237C"/>
    <w:rsid w:val="00980170"/>
    <w:rsid w:val="009825B3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E0C50"/>
    <w:rsid w:val="009F2EB0"/>
    <w:rsid w:val="009F5520"/>
    <w:rsid w:val="00A03195"/>
    <w:rsid w:val="00A132D7"/>
    <w:rsid w:val="00A14116"/>
    <w:rsid w:val="00A1425F"/>
    <w:rsid w:val="00A14546"/>
    <w:rsid w:val="00A25F3B"/>
    <w:rsid w:val="00A43252"/>
    <w:rsid w:val="00A544F9"/>
    <w:rsid w:val="00A70496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52987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BF0E89"/>
    <w:rsid w:val="00C11D67"/>
    <w:rsid w:val="00C35CFC"/>
    <w:rsid w:val="00C37DBE"/>
    <w:rsid w:val="00C43F33"/>
    <w:rsid w:val="00C4740F"/>
    <w:rsid w:val="00C553CF"/>
    <w:rsid w:val="00C70E12"/>
    <w:rsid w:val="00C711A7"/>
    <w:rsid w:val="00C812EC"/>
    <w:rsid w:val="00C96263"/>
    <w:rsid w:val="00CA777A"/>
    <w:rsid w:val="00CB2061"/>
    <w:rsid w:val="00CB2846"/>
    <w:rsid w:val="00CB48D3"/>
    <w:rsid w:val="00CB61C9"/>
    <w:rsid w:val="00CD54C6"/>
    <w:rsid w:val="00CF2F5B"/>
    <w:rsid w:val="00D21513"/>
    <w:rsid w:val="00D41275"/>
    <w:rsid w:val="00D578E3"/>
    <w:rsid w:val="00D6225D"/>
    <w:rsid w:val="00D90E71"/>
    <w:rsid w:val="00D94040"/>
    <w:rsid w:val="00DA46F3"/>
    <w:rsid w:val="00DA498D"/>
    <w:rsid w:val="00DA51E7"/>
    <w:rsid w:val="00DA7BB7"/>
    <w:rsid w:val="00DC0E11"/>
    <w:rsid w:val="00DC1785"/>
    <w:rsid w:val="00DC65D5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5627"/>
    <w:rsid w:val="00F17E6F"/>
    <w:rsid w:val="00F35A80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EDAB-D828-4B23-8A7B-9214EE6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Jennifer Lara</cp:lastModifiedBy>
  <cp:revision>2</cp:revision>
  <cp:lastPrinted>2015-10-13T17:44:00Z</cp:lastPrinted>
  <dcterms:created xsi:type="dcterms:W3CDTF">2018-02-21T18:23:00Z</dcterms:created>
  <dcterms:modified xsi:type="dcterms:W3CDTF">2018-02-21T18:23:00Z</dcterms:modified>
</cp:coreProperties>
</file>